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7C1D4" w14:textId="2DCAB843" w:rsidR="009B6765" w:rsidRDefault="00271E55" w:rsidP="009E6847">
      <w:pPr>
        <w:pStyle w:val="BodyText2"/>
        <w:tabs>
          <w:tab w:val="clear" w:pos="720"/>
          <w:tab w:val="clear" w:pos="1440"/>
          <w:tab w:val="clear" w:pos="2160"/>
          <w:tab w:val="clear" w:pos="2880"/>
          <w:tab w:val="clear" w:pos="3600"/>
          <w:tab w:val="clear" w:pos="4320"/>
          <w:tab w:val="left" w:pos="4680"/>
        </w:tabs>
        <w:spacing w:line="360" w:lineRule="auto"/>
        <w:ind w:firstLine="720"/>
      </w:pPr>
      <w:r>
        <w:t xml:space="preserve">Upon a motion by, </w:t>
      </w:r>
      <w:r w:rsidR="00C519F6">
        <w:t>Bailey</w:t>
      </w:r>
      <w:r>
        <w:t xml:space="preserve">, seconded by </w:t>
      </w:r>
      <w:r w:rsidR="00C519F6">
        <w:t>Crawford</w:t>
      </w:r>
      <w:r>
        <w:t>, the following resolution was offered for adoption:</w:t>
      </w:r>
    </w:p>
    <w:p w14:paraId="316516BB" w14:textId="1C49FCC4" w:rsidR="00271E55" w:rsidRDefault="009E6847" w:rsidP="009E6847">
      <w:pPr>
        <w:pStyle w:val="BodyText2"/>
        <w:tabs>
          <w:tab w:val="clear" w:pos="720"/>
          <w:tab w:val="clear" w:pos="1440"/>
          <w:tab w:val="clear" w:pos="2160"/>
          <w:tab w:val="clear" w:pos="2880"/>
          <w:tab w:val="clear" w:pos="3600"/>
          <w:tab w:val="clear" w:pos="4320"/>
          <w:tab w:val="left" w:pos="4680"/>
        </w:tabs>
        <w:spacing w:line="360" w:lineRule="auto"/>
        <w:ind w:firstLine="720"/>
      </w:pPr>
      <w:r>
        <w:rPr>
          <w:b/>
          <w:bCs/>
          <w:sz w:val="32"/>
          <w:szCs w:val="32"/>
        </w:rPr>
        <w:t xml:space="preserve">                        </w:t>
      </w:r>
      <w:r w:rsidR="009B6765">
        <w:rPr>
          <w:b/>
          <w:bCs/>
          <w:sz w:val="32"/>
          <w:szCs w:val="32"/>
        </w:rPr>
        <w:t>Resolution 2020-010</w:t>
      </w:r>
    </w:p>
    <w:p w14:paraId="0E25CC18" w14:textId="77777777" w:rsidR="00271E55" w:rsidRDefault="00271E55">
      <w:pPr>
        <w:spacing w:line="360" w:lineRule="auto"/>
        <w:ind w:left="1440" w:right="1440"/>
        <w:jc w:val="both"/>
        <w:rPr>
          <w:sz w:val="22"/>
        </w:rPr>
      </w:pPr>
      <w:r>
        <w:rPr>
          <w:sz w:val="22"/>
        </w:rPr>
        <w:t xml:space="preserve">A RESOLUTION ADDRESSING ADMINISTRATIVE ASPECTS OF THE PROPOSED </w:t>
      </w:r>
      <w:r w:rsidRPr="00824EEE">
        <w:rPr>
          <w:noProof/>
          <w:sz w:val="22"/>
        </w:rPr>
        <w:t>FY 2021</w:t>
      </w:r>
      <w:r>
        <w:rPr>
          <w:sz w:val="22"/>
        </w:rPr>
        <w:t xml:space="preserve"> LOUISIANA COMMUNITY DEVELOPMENT BLOCK GRANT PROJECT</w:t>
      </w:r>
    </w:p>
    <w:p w14:paraId="5B13651F" w14:textId="77777777" w:rsidR="00271E55" w:rsidRDefault="00271E55">
      <w:pPr>
        <w:spacing w:line="360" w:lineRule="auto"/>
        <w:jc w:val="both"/>
        <w:rPr>
          <w:sz w:val="22"/>
        </w:rPr>
      </w:pPr>
    </w:p>
    <w:p w14:paraId="121B3D24" w14:textId="77777777" w:rsidR="00271E55" w:rsidRDefault="00271E55">
      <w:pPr>
        <w:tabs>
          <w:tab w:val="left" w:pos="-1440"/>
        </w:tabs>
        <w:spacing w:line="360" w:lineRule="auto"/>
        <w:ind w:left="1440" w:hanging="1440"/>
        <w:jc w:val="both"/>
        <w:rPr>
          <w:sz w:val="22"/>
        </w:rPr>
      </w:pPr>
      <w:r>
        <w:rPr>
          <w:sz w:val="22"/>
        </w:rPr>
        <w:t>WHEREAS,</w:t>
      </w:r>
      <w:r>
        <w:rPr>
          <w:sz w:val="22"/>
        </w:rPr>
        <w:tab/>
        <w:t xml:space="preserve">the </w:t>
      </w:r>
      <w:r w:rsidRPr="00824EEE">
        <w:rPr>
          <w:noProof/>
          <w:sz w:val="22"/>
        </w:rPr>
        <w:t>Town of Olla</w:t>
      </w:r>
      <w:r>
        <w:rPr>
          <w:sz w:val="22"/>
        </w:rPr>
        <w:t xml:space="preserve"> is desirous of </w:t>
      </w:r>
      <w:proofErr w:type="gramStart"/>
      <w:r>
        <w:rPr>
          <w:sz w:val="22"/>
        </w:rPr>
        <w:t>submitting an application</w:t>
      </w:r>
      <w:proofErr w:type="gramEnd"/>
      <w:r>
        <w:rPr>
          <w:sz w:val="22"/>
        </w:rPr>
        <w:t xml:space="preserve"> to the State of Louisiana, Division of Administration for funding under the </w:t>
      </w:r>
      <w:r w:rsidRPr="00824EEE">
        <w:rPr>
          <w:noProof/>
          <w:sz w:val="22"/>
        </w:rPr>
        <w:t>FY 2021</w:t>
      </w:r>
      <w:r>
        <w:rPr>
          <w:sz w:val="22"/>
        </w:rPr>
        <w:t xml:space="preserve"> LCDBG program for </w:t>
      </w:r>
      <w:r w:rsidRPr="00824EEE">
        <w:rPr>
          <w:noProof/>
          <w:sz w:val="22"/>
        </w:rPr>
        <w:t>public improvements</w:t>
      </w:r>
      <w:r>
        <w:rPr>
          <w:sz w:val="22"/>
        </w:rPr>
        <w:t>; and</w:t>
      </w:r>
    </w:p>
    <w:p w14:paraId="3A05509D" w14:textId="77777777" w:rsidR="00271E55" w:rsidRDefault="00271E55">
      <w:pPr>
        <w:spacing w:line="360" w:lineRule="auto"/>
        <w:jc w:val="both"/>
        <w:rPr>
          <w:sz w:val="22"/>
        </w:rPr>
      </w:pPr>
    </w:p>
    <w:p w14:paraId="78F27C43" w14:textId="77777777" w:rsidR="00271E55" w:rsidRDefault="00271E55">
      <w:pPr>
        <w:tabs>
          <w:tab w:val="left" w:pos="-1440"/>
        </w:tabs>
        <w:spacing w:line="360" w:lineRule="auto"/>
        <w:ind w:left="1440" w:hanging="1440"/>
        <w:jc w:val="both"/>
        <w:rPr>
          <w:sz w:val="22"/>
        </w:rPr>
      </w:pPr>
      <w:proofErr w:type="gramStart"/>
      <w:r w:rsidRPr="00A96142">
        <w:rPr>
          <w:sz w:val="22"/>
          <w:szCs w:val="22"/>
        </w:rPr>
        <w:t>WHEREAS</w:t>
      </w:r>
      <w:r>
        <w:t>,</w:t>
      </w:r>
      <w:proofErr w:type="gramEnd"/>
      <w:r>
        <w:tab/>
      </w:r>
      <w:r>
        <w:rPr>
          <w:sz w:val="22"/>
        </w:rPr>
        <w:t xml:space="preserve">it is necessary to pay all administrative costs associated with the implementation of the LCDBG program to receive two bonus points, should funding become available;   </w:t>
      </w:r>
    </w:p>
    <w:p w14:paraId="0995FF65" w14:textId="77777777" w:rsidR="00271E55" w:rsidRDefault="00271E55">
      <w:pPr>
        <w:tabs>
          <w:tab w:val="left" w:pos="-1440"/>
        </w:tabs>
        <w:spacing w:line="360" w:lineRule="auto"/>
        <w:ind w:left="1440" w:hanging="1440"/>
        <w:jc w:val="both"/>
        <w:rPr>
          <w:rFonts w:cs="Arial"/>
        </w:rPr>
      </w:pPr>
    </w:p>
    <w:p w14:paraId="5A736C47" w14:textId="77777777" w:rsidR="00271E55" w:rsidRDefault="00271E55">
      <w:pPr>
        <w:pStyle w:val="BodyText2"/>
        <w:tabs>
          <w:tab w:val="left" w:pos="-1440"/>
        </w:tabs>
        <w:spacing w:line="360" w:lineRule="auto"/>
        <w:rPr>
          <w:rFonts w:cs="Arial"/>
        </w:rPr>
      </w:pPr>
      <w:r>
        <w:rPr>
          <w:rFonts w:cs="Arial"/>
        </w:rPr>
        <w:tab/>
        <w:t xml:space="preserve">NOW, THEREFORE BE IT RESOLVED that the </w:t>
      </w:r>
      <w:r w:rsidRPr="00824EEE">
        <w:rPr>
          <w:rFonts w:cs="Arial"/>
          <w:noProof/>
        </w:rPr>
        <w:t>Town of Olla</w:t>
      </w:r>
      <w:r>
        <w:rPr>
          <w:rFonts w:cs="Arial"/>
        </w:rPr>
        <w:t xml:space="preserve"> has hired the administrative and engineering firms of GNF Management Company, Inc. and </w:t>
      </w:r>
      <w:r w:rsidRPr="00824EEE">
        <w:rPr>
          <w:rFonts w:cs="Arial"/>
          <w:noProof/>
        </w:rPr>
        <w:t>Shuler Consulting Company</w:t>
      </w:r>
      <w:r>
        <w:rPr>
          <w:rFonts w:cs="Arial"/>
        </w:rPr>
        <w:t>, to assist in the preparation of said application for the fees of $1,400.00 and $1,500.00, respectively.   An additional fee of $40,000.00 will be paid to the administrative firm of GNF Management Company, Inc. for subsequent program administration of the LCDBG program.   All fees are contingent upon funding of the project by the State of Louisiana, Division of Administration under the FY 2021 LCDBG program.</w:t>
      </w:r>
    </w:p>
    <w:p w14:paraId="190DCE8A" w14:textId="77777777" w:rsidR="00271E55" w:rsidRDefault="00271E55">
      <w:pPr>
        <w:widowControl/>
        <w:tabs>
          <w:tab w:val="left" w:pos="-1440"/>
        </w:tabs>
        <w:spacing w:line="360" w:lineRule="auto"/>
        <w:jc w:val="both"/>
        <w:rPr>
          <w:sz w:val="22"/>
        </w:rPr>
      </w:pPr>
    </w:p>
    <w:p w14:paraId="41B94971" w14:textId="77777777" w:rsidR="00271E55" w:rsidRDefault="00271E55">
      <w:pPr>
        <w:spacing w:line="360" w:lineRule="auto"/>
        <w:ind w:firstLine="720"/>
        <w:jc w:val="both"/>
        <w:rPr>
          <w:sz w:val="22"/>
        </w:rPr>
      </w:pPr>
      <w:r>
        <w:rPr>
          <w:sz w:val="22"/>
        </w:rPr>
        <w:t xml:space="preserve">BE IT FURTHER RESOLVED that the </w:t>
      </w:r>
      <w:r w:rsidRPr="00824EEE">
        <w:rPr>
          <w:noProof/>
          <w:sz w:val="22"/>
        </w:rPr>
        <w:t>Town of Olla</w:t>
      </w:r>
      <w:r>
        <w:rPr>
          <w:sz w:val="22"/>
        </w:rPr>
        <w:t xml:space="preserve"> has agreed to utilize local funds to pay all administrative costs associated with the preparation and implementation of the </w:t>
      </w:r>
      <w:r w:rsidRPr="00824EEE">
        <w:rPr>
          <w:noProof/>
          <w:sz w:val="22"/>
        </w:rPr>
        <w:t>FY 2021</w:t>
      </w:r>
      <w:r>
        <w:rPr>
          <w:sz w:val="22"/>
        </w:rPr>
        <w:t xml:space="preserve"> LCDBG program.</w:t>
      </w:r>
    </w:p>
    <w:p w14:paraId="7C434E90" w14:textId="77777777" w:rsidR="00271E55" w:rsidRDefault="00271E55">
      <w:pPr>
        <w:spacing w:line="360" w:lineRule="auto"/>
        <w:jc w:val="both"/>
        <w:rPr>
          <w:sz w:val="22"/>
        </w:rPr>
      </w:pPr>
    </w:p>
    <w:p w14:paraId="3D29D456" w14:textId="5818A896" w:rsidR="00271E55" w:rsidRDefault="00271E55">
      <w:pPr>
        <w:spacing w:line="360" w:lineRule="auto"/>
        <w:ind w:firstLine="720"/>
        <w:jc w:val="both"/>
        <w:rPr>
          <w:sz w:val="22"/>
        </w:rPr>
      </w:pPr>
      <w:r>
        <w:rPr>
          <w:sz w:val="22"/>
        </w:rPr>
        <w:t>The above resolution having been read and a vote taken as adopted by unanimous vote on this</w:t>
      </w:r>
      <w:r w:rsidR="00C519F6">
        <w:rPr>
          <w:sz w:val="22"/>
        </w:rPr>
        <w:t xml:space="preserve"> 10</w:t>
      </w:r>
      <w:r w:rsidR="00C519F6" w:rsidRPr="00C519F6">
        <w:rPr>
          <w:sz w:val="22"/>
          <w:vertAlign w:val="superscript"/>
        </w:rPr>
        <w:t>th</w:t>
      </w:r>
      <w:r w:rsidR="00C519F6">
        <w:rPr>
          <w:sz w:val="22"/>
        </w:rPr>
        <w:t xml:space="preserve"> </w:t>
      </w:r>
      <w:r>
        <w:rPr>
          <w:sz w:val="22"/>
        </w:rPr>
        <w:t xml:space="preserve">day of </w:t>
      </w:r>
      <w:r w:rsidR="00C519F6">
        <w:rPr>
          <w:sz w:val="22"/>
        </w:rPr>
        <w:t>November,</w:t>
      </w:r>
      <w:r>
        <w:rPr>
          <w:sz w:val="22"/>
        </w:rPr>
        <w:t xml:space="preserve"> 2020.</w:t>
      </w:r>
    </w:p>
    <w:p w14:paraId="08C3C1FC" w14:textId="77777777" w:rsidR="00271E55" w:rsidRDefault="00271E55">
      <w:pPr>
        <w:spacing w:line="360" w:lineRule="auto"/>
        <w:jc w:val="both"/>
        <w:rPr>
          <w:sz w:val="22"/>
        </w:rPr>
      </w:pPr>
    </w:p>
    <w:p w14:paraId="58F592BF" w14:textId="77777777" w:rsidR="00271E55" w:rsidRDefault="00271E55">
      <w:pPr>
        <w:spacing w:line="360" w:lineRule="auto"/>
        <w:jc w:val="both"/>
        <w:rPr>
          <w:sz w:val="22"/>
        </w:rPr>
      </w:pPr>
    </w:p>
    <w:p w14:paraId="600B9E0C" w14:textId="77777777" w:rsidR="00271E55" w:rsidRDefault="00271E55">
      <w:pPr>
        <w:jc w:val="both"/>
        <w:rPr>
          <w:sz w:val="22"/>
        </w:rPr>
      </w:pPr>
      <w:r>
        <w:rPr>
          <w:sz w:val="22"/>
        </w:rPr>
        <w:t>________________________________                   ________________________________</w:t>
      </w:r>
    </w:p>
    <w:p w14:paraId="38BB2B72" w14:textId="026E843D" w:rsidR="00271E55" w:rsidRDefault="00271E55">
      <w:pPr>
        <w:widowControl/>
        <w:tabs>
          <w:tab w:val="left" w:pos="0"/>
          <w:tab w:val="left" w:pos="4680"/>
          <w:tab w:val="left" w:pos="5040"/>
          <w:tab w:val="left" w:pos="5760"/>
          <w:tab w:val="left" w:pos="6480"/>
          <w:tab w:val="left" w:pos="7200"/>
          <w:tab w:val="left" w:pos="7920"/>
          <w:tab w:val="left" w:pos="8640"/>
          <w:tab w:val="right" w:pos="9360"/>
        </w:tabs>
        <w:jc w:val="both"/>
        <w:rPr>
          <w:sz w:val="22"/>
        </w:rPr>
      </w:pPr>
      <w:r w:rsidRPr="00824EEE">
        <w:rPr>
          <w:noProof/>
          <w:sz w:val="22"/>
        </w:rPr>
        <w:t>Rhonda</w:t>
      </w:r>
      <w:r>
        <w:rPr>
          <w:sz w:val="22"/>
        </w:rPr>
        <w:t xml:space="preserve"> </w:t>
      </w:r>
      <w:r w:rsidRPr="00824EEE">
        <w:rPr>
          <w:noProof/>
          <w:sz w:val="22"/>
        </w:rPr>
        <w:t>Elliott</w:t>
      </w:r>
      <w:r>
        <w:rPr>
          <w:sz w:val="22"/>
        </w:rPr>
        <w:t xml:space="preserve">, </w:t>
      </w:r>
      <w:r w:rsidRPr="00824EEE">
        <w:rPr>
          <w:noProof/>
          <w:sz w:val="22"/>
        </w:rPr>
        <w:t>Mayor</w:t>
      </w:r>
      <w:r>
        <w:rPr>
          <w:sz w:val="22"/>
        </w:rPr>
        <w:tab/>
      </w:r>
      <w:r>
        <w:rPr>
          <w:sz w:val="22"/>
        </w:rPr>
        <w:tab/>
      </w:r>
      <w:r w:rsidR="009B6765">
        <w:rPr>
          <w:noProof/>
          <w:sz w:val="22"/>
        </w:rPr>
        <w:t>Sonya Kennon, Clerk</w:t>
      </w:r>
      <w:r>
        <w:rPr>
          <w:sz w:val="22"/>
        </w:rPr>
        <w:t xml:space="preserve"> </w:t>
      </w:r>
    </w:p>
    <w:p w14:paraId="7F7E7C44" w14:textId="77777777" w:rsidR="00271E55" w:rsidRDefault="00271E55">
      <w:pPr>
        <w:widowControl/>
        <w:tabs>
          <w:tab w:val="left" w:pos="0"/>
          <w:tab w:val="left" w:pos="4680"/>
          <w:tab w:val="left" w:pos="5040"/>
          <w:tab w:val="left" w:pos="5760"/>
          <w:tab w:val="left" w:pos="6480"/>
          <w:tab w:val="left" w:pos="7200"/>
          <w:tab w:val="left" w:pos="7920"/>
          <w:tab w:val="left" w:pos="8640"/>
          <w:tab w:val="right" w:pos="9360"/>
        </w:tabs>
        <w:jc w:val="both"/>
        <w:rPr>
          <w:sz w:val="22"/>
        </w:rPr>
        <w:sectPr w:rsidR="00271E55">
          <w:headerReference w:type="default" r:id="rId8"/>
          <w:footerReference w:type="default" r:id="rId9"/>
          <w:endnotePr>
            <w:numFmt w:val="decimal"/>
          </w:endnotePr>
          <w:pgSz w:w="12240" w:h="15840" w:code="1"/>
          <w:pgMar w:top="1440" w:right="1440" w:bottom="1440" w:left="1440" w:header="720" w:footer="720" w:gutter="0"/>
          <w:cols w:space="720"/>
          <w:noEndnote/>
          <w:titlePg/>
        </w:sectPr>
      </w:pPr>
    </w:p>
    <w:p w14:paraId="32724453" w14:textId="77777777" w:rsidR="00271E55" w:rsidRDefault="00271E55">
      <w:pPr>
        <w:widowControl/>
        <w:tabs>
          <w:tab w:val="left" w:pos="0"/>
          <w:tab w:val="left" w:pos="4680"/>
          <w:tab w:val="left" w:pos="5040"/>
          <w:tab w:val="left" w:pos="5760"/>
          <w:tab w:val="left" w:pos="6480"/>
          <w:tab w:val="left" w:pos="7200"/>
          <w:tab w:val="left" w:pos="7920"/>
          <w:tab w:val="left" w:pos="8640"/>
          <w:tab w:val="right" w:pos="9360"/>
        </w:tabs>
        <w:jc w:val="both"/>
        <w:rPr>
          <w:sz w:val="22"/>
        </w:rPr>
      </w:pPr>
    </w:p>
    <w:sectPr w:rsidR="00271E55" w:rsidSect="00271E55">
      <w:headerReference w:type="default" r:id="rId10"/>
      <w:footerReference w:type="default" r:id="rId11"/>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64643" w14:textId="77777777" w:rsidR="00271E55" w:rsidRDefault="00271E55">
      <w:r>
        <w:separator/>
      </w:r>
    </w:p>
  </w:endnote>
  <w:endnote w:type="continuationSeparator" w:id="0">
    <w:p w14:paraId="57542422" w14:textId="77777777" w:rsidR="00271E55" w:rsidRDefault="0027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AA55" w14:textId="77777777" w:rsidR="00271E55" w:rsidRDefault="00271E55">
    <w:pPr>
      <w:spacing w:line="81" w:lineRule="exact"/>
    </w:pPr>
  </w:p>
  <w:p w14:paraId="3EC96648" w14:textId="77777777" w:rsidR="00271E55" w:rsidRDefault="00271E55">
    <w:pPr>
      <w:tabs>
        <w:tab w:val="center" w:pos="4680"/>
        <w:tab w:val="left" w:pos="5040"/>
        <w:tab w:val="left" w:pos="5760"/>
        <w:tab w:val="left" w:pos="6480"/>
        <w:tab w:val="left" w:pos="7200"/>
        <w:tab w:val="left" w:pos="7920"/>
        <w:tab w:val="left" w:pos="8640"/>
        <w:tab w:val="right" w:pos="9360"/>
      </w:tabs>
      <w:rPr>
        <w:sz w:val="24"/>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7856B" w14:textId="77777777" w:rsidR="00E25931" w:rsidRDefault="00E25931">
    <w:pPr>
      <w:spacing w:line="81" w:lineRule="exact"/>
    </w:pPr>
  </w:p>
  <w:p w14:paraId="22D60E2C" w14:textId="77777777" w:rsidR="00E25931" w:rsidRDefault="00E25931">
    <w:pPr>
      <w:tabs>
        <w:tab w:val="center" w:pos="4680"/>
        <w:tab w:val="left" w:pos="5040"/>
        <w:tab w:val="left" w:pos="5760"/>
        <w:tab w:val="left" w:pos="6480"/>
        <w:tab w:val="left" w:pos="7200"/>
        <w:tab w:val="left" w:pos="7920"/>
        <w:tab w:val="left" w:pos="8640"/>
        <w:tab w:val="right" w:pos="9360"/>
      </w:tabs>
      <w:rPr>
        <w:sz w:val="2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3F54C" w14:textId="77777777" w:rsidR="00271E55" w:rsidRDefault="00271E55">
      <w:r>
        <w:separator/>
      </w:r>
    </w:p>
  </w:footnote>
  <w:footnote w:type="continuationSeparator" w:id="0">
    <w:p w14:paraId="484583FD" w14:textId="77777777" w:rsidR="00271E55" w:rsidRDefault="00271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1B09F" w14:textId="77777777" w:rsidR="00271E55" w:rsidRDefault="00271E55">
    <w:pPr>
      <w:pStyle w:val="Header"/>
      <w:framePr w:wrap="around" w:vAnchor="text" w:hAnchor="margin" w:xAlign="right" w:y="1"/>
      <w:rPr>
        <w:rStyle w:val="PageNumber"/>
      </w:rPr>
    </w:pPr>
  </w:p>
  <w:p w14:paraId="6FA1828D" w14:textId="77777777" w:rsidR="00271E55" w:rsidRDefault="00271E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EB8E" w14:textId="77777777" w:rsidR="00E25931" w:rsidRDefault="00E25931">
    <w:pPr>
      <w:pStyle w:val="Header"/>
      <w:framePr w:wrap="around" w:vAnchor="text" w:hAnchor="margin" w:xAlign="right" w:y="1"/>
      <w:rPr>
        <w:rStyle w:val="PageNumber"/>
      </w:rPr>
    </w:pPr>
  </w:p>
  <w:p w14:paraId="72086BE4" w14:textId="77777777" w:rsidR="00E25931" w:rsidRDefault="00E2593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E095A8B"/>
    <w:multiLevelType w:val="hybridMultilevel"/>
    <w:tmpl w:val="86F25592"/>
    <w:lvl w:ilvl="0" w:tplc="97BEBD30">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1">
    <w:nsid w:val="67AD1DFF"/>
    <w:multiLevelType w:val="hybridMultilevel"/>
    <w:tmpl w:val="4588E310"/>
    <w:lvl w:ilvl="0" w:tplc="E37A611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C0"/>
    <w:rsid w:val="0002408D"/>
    <w:rsid w:val="00051E46"/>
    <w:rsid w:val="000617AE"/>
    <w:rsid w:val="000727A2"/>
    <w:rsid w:val="000A02B4"/>
    <w:rsid w:val="000B0305"/>
    <w:rsid w:val="000C6C87"/>
    <w:rsid w:val="000D1236"/>
    <w:rsid w:val="000D4BAD"/>
    <w:rsid w:val="000D6677"/>
    <w:rsid w:val="00120B92"/>
    <w:rsid w:val="00140C24"/>
    <w:rsid w:val="00155803"/>
    <w:rsid w:val="0016295D"/>
    <w:rsid w:val="00176CC2"/>
    <w:rsid w:val="0019247A"/>
    <w:rsid w:val="001C107E"/>
    <w:rsid w:val="001C6B6E"/>
    <w:rsid w:val="00222A8C"/>
    <w:rsid w:val="002256A4"/>
    <w:rsid w:val="0024023E"/>
    <w:rsid w:val="00271E55"/>
    <w:rsid w:val="002C7D72"/>
    <w:rsid w:val="0031349D"/>
    <w:rsid w:val="003316B7"/>
    <w:rsid w:val="00336899"/>
    <w:rsid w:val="00346A27"/>
    <w:rsid w:val="00375A10"/>
    <w:rsid w:val="003B24AF"/>
    <w:rsid w:val="00462177"/>
    <w:rsid w:val="004925C9"/>
    <w:rsid w:val="004A5FB8"/>
    <w:rsid w:val="004A7D85"/>
    <w:rsid w:val="004D05A7"/>
    <w:rsid w:val="00501322"/>
    <w:rsid w:val="0050575E"/>
    <w:rsid w:val="00544E43"/>
    <w:rsid w:val="00581D42"/>
    <w:rsid w:val="00593316"/>
    <w:rsid w:val="005E0016"/>
    <w:rsid w:val="005E076C"/>
    <w:rsid w:val="005F616C"/>
    <w:rsid w:val="006031CA"/>
    <w:rsid w:val="0066016B"/>
    <w:rsid w:val="006C3FED"/>
    <w:rsid w:val="006E143E"/>
    <w:rsid w:val="006E1C50"/>
    <w:rsid w:val="006E7EF9"/>
    <w:rsid w:val="00717D79"/>
    <w:rsid w:val="007360B5"/>
    <w:rsid w:val="00781280"/>
    <w:rsid w:val="007F0610"/>
    <w:rsid w:val="00811972"/>
    <w:rsid w:val="00841FC0"/>
    <w:rsid w:val="00870E84"/>
    <w:rsid w:val="00887496"/>
    <w:rsid w:val="008921EA"/>
    <w:rsid w:val="008A4E2C"/>
    <w:rsid w:val="008B641C"/>
    <w:rsid w:val="008D165E"/>
    <w:rsid w:val="0090115D"/>
    <w:rsid w:val="009075BC"/>
    <w:rsid w:val="00974421"/>
    <w:rsid w:val="009927C8"/>
    <w:rsid w:val="009B5D40"/>
    <w:rsid w:val="009B6765"/>
    <w:rsid w:val="009E6847"/>
    <w:rsid w:val="00A96142"/>
    <w:rsid w:val="00AA3277"/>
    <w:rsid w:val="00AB2A28"/>
    <w:rsid w:val="00AD583A"/>
    <w:rsid w:val="00B1200A"/>
    <w:rsid w:val="00B55475"/>
    <w:rsid w:val="00B6506F"/>
    <w:rsid w:val="00B82ECB"/>
    <w:rsid w:val="00BC4A47"/>
    <w:rsid w:val="00BE1D7B"/>
    <w:rsid w:val="00C25417"/>
    <w:rsid w:val="00C519F6"/>
    <w:rsid w:val="00C91D9F"/>
    <w:rsid w:val="00C97980"/>
    <w:rsid w:val="00D03134"/>
    <w:rsid w:val="00D101A4"/>
    <w:rsid w:val="00D1154A"/>
    <w:rsid w:val="00D24E06"/>
    <w:rsid w:val="00D25260"/>
    <w:rsid w:val="00D468EA"/>
    <w:rsid w:val="00D55BF6"/>
    <w:rsid w:val="00D65431"/>
    <w:rsid w:val="00DC447E"/>
    <w:rsid w:val="00DD72AE"/>
    <w:rsid w:val="00E25931"/>
    <w:rsid w:val="00E64B9C"/>
    <w:rsid w:val="00ED0C0D"/>
    <w:rsid w:val="00ED1750"/>
    <w:rsid w:val="00ED184A"/>
    <w:rsid w:val="00EE17A8"/>
    <w:rsid w:val="00EF7EB6"/>
    <w:rsid w:val="00F12AD7"/>
    <w:rsid w:val="00F333A0"/>
    <w:rsid w:val="00F941A9"/>
    <w:rsid w:val="00FD25DA"/>
    <w:rsid w:val="00FE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FD446B"/>
  <w15:chartTrackingRefBased/>
  <w15:docId w15:val="{803E47AB-C78A-48B6-9772-0266F1F0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qFormat/>
    <w:pPr>
      <w:keepNext/>
      <w:jc w:val="center"/>
      <w:outlineLvl w:val="0"/>
    </w:pPr>
    <w:rPr>
      <w:rFonts w:cs="Arial"/>
      <w:sz w:val="24"/>
      <w:u w:val="single"/>
    </w:rPr>
  </w:style>
  <w:style w:type="paragraph" w:styleId="Heading2">
    <w:name w:val="heading 2"/>
    <w:basedOn w:val="Normal"/>
    <w:next w:val="Normal"/>
    <w:qFormat/>
    <w:pPr>
      <w:keepNext/>
      <w:jc w:val="center"/>
      <w:outlineLvl w:val="1"/>
    </w:pPr>
    <w:rPr>
      <w:rFonts w:cs="Arial"/>
      <w:b/>
      <w:bCs/>
      <w:sz w:val="24"/>
    </w:rPr>
  </w:style>
  <w:style w:type="paragraph" w:styleId="Heading3">
    <w:name w:val="heading 3"/>
    <w:basedOn w:val="Normal"/>
    <w:next w:val="Normal"/>
    <w:qFormat/>
    <w:pPr>
      <w:keepNext/>
      <w:outlineLvl w:val="2"/>
    </w:pPr>
    <w:rPr>
      <w:rFonts w:cs="Arial"/>
      <w:b/>
      <w:bCs/>
      <w:sz w:val="24"/>
    </w:rPr>
  </w:style>
  <w:style w:type="paragraph" w:styleId="Heading4">
    <w:name w:val="heading 4"/>
    <w:basedOn w:val="Normal"/>
    <w:next w:val="Normal"/>
    <w:qFormat/>
    <w:pPr>
      <w:keepNext/>
      <w:jc w:val="center"/>
      <w:outlineLvl w:val="3"/>
    </w:pPr>
    <w:rPr>
      <w:rFonts w:cs="Arial"/>
      <w:b/>
      <w:bCs/>
      <w:sz w:val="24"/>
      <w:u w:val="single"/>
    </w:rPr>
  </w:style>
  <w:style w:type="paragraph" w:styleId="Heading5">
    <w:name w:val="heading 5"/>
    <w:basedOn w:val="Normal"/>
    <w:next w:val="Normal"/>
    <w:qFormat/>
    <w:pPr>
      <w:keepNext/>
      <w:outlineLvl w:val="4"/>
    </w:pPr>
    <w:rPr>
      <w:rFonts w:cs="Arial"/>
      <w:sz w:val="24"/>
    </w:rPr>
  </w:style>
  <w:style w:type="paragraph" w:styleId="Heading6">
    <w:name w:val="heading 6"/>
    <w:basedOn w:val="Normal"/>
    <w:next w:val="Normal"/>
    <w:qFormat/>
    <w:pPr>
      <w:keepNext/>
      <w:jc w:val="center"/>
      <w:outlineLvl w:val="5"/>
    </w:pPr>
    <w:rPr>
      <w:rFonts w:cs="Arial"/>
      <w:sz w:val="24"/>
    </w:rPr>
  </w:style>
  <w:style w:type="paragraph" w:styleId="Heading7">
    <w:name w:val="heading 7"/>
    <w:basedOn w:val="Normal"/>
    <w:next w:val="Normal"/>
    <w:qFormat/>
    <w:pPr>
      <w:keepNext/>
      <w:jc w:val="both"/>
      <w:outlineLvl w:val="6"/>
    </w:pPr>
    <w:rPr>
      <w:rFonts w:cs="Arial"/>
      <w:sz w:val="24"/>
      <w:u w:val="single"/>
    </w:rPr>
  </w:style>
  <w:style w:type="paragraph" w:styleId="Heading8">
    <w:name w:val="heading 8"/>
    <w:basedOn w:val="Normal"/>
    <w:next w:val="Normal"/>
    <w:qFormat/>
    <w:pPr>
      <w:keepNext/>
      <w:ind w:firstLine="720"/>
      <w:outlineLvl w:val="7"/>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link w:val="TitleChar"/>
    <w:qFormat/>
    <w:pPr>
      <w:tabs>
        <w:tab w:val="left" w:pos="0"/>
        <w:tab w:val="center" w:pos="4680"/>
        <w:tab w:val="left" w:pos="5040"/>
        <w:tab w:val="left" w:pos="5760"/>
        <w:tab w:val="left" w:pos="6480"/>
        <w:tab w:val="left" w:pos="7200"/>
        <w:tab w:val="left" w:pos="7920"/>
        <w:tab w:val="left" w:pos="8640"/>
        <w:tab w:val="right" w:pos="9360"/>
      </w:tabs>
      <w:jc w:val="center"/>
    </w:pPr>
    <w:rPr>
      <w:b/>
      <w:bCs/>
      <w:sz w:val="36"/>
      <w:szCs w:val="36"/>
    </w:rPr>
  </w:style>
  <w:style w:type="paragraph" w:customStyle="1" w:styleId="WP9Heading">
    <w:name w:val="WP9_Heading"/>
    <w:basedOn w:val="Normal"/>
    <w:pPr>
      <w:tabs>
        <w:tab w:val="left" w:pos="0"/>
        <w:tab w:val="center" w:pos="2160"/>
        <w:tab w:val="left" w:pos="2880"/>
        <w:tab w:val="left" w:pos="3600"/>
        <w:tab w:val="left" w:pos="4320"/>
        <w:tab w:val="left" w:pos="5040"/>
        <w:tab w:val="left" w:pos="5760"/>
        <w:tab w:val="left" w:pos="6480"/>
        <w:tab w:val="left" w:pos="7200"/>
        <w:tab w:val="left" w:pos="7920"/>
        <w:tab w:val="left" w:pos="8640"/>
        <w:tab w:val="right" w:pos="9360"/>
      </w:tabs>
    </w:pPr>
    <w:rPr>
      <w:b/>
      <w:bCs/>
      <w:i/>
      <w:iCs/>
      <w:sz w:val="24"/>
    </w:rPr>
  </w:style>
  <w:style w:type="character" w:customStyle="1" w:styleId="Hypertext">
    <w:name w:val="Hypertext"/>
    <w:rPr>
      <w:color w:val="0000FF"/>
      <w:u w:val="single"/>
    </w:rPr>
  </w:style>
  <w:style w:type="paragraph" w:styleId="BodyText">
    <w:name w:val="Body Text"/>
    <w:basedOn w:val="Normal"/>
    <w:rPr>
      <w:sz w:val="22"/>
      <w:szCs w:val="22"/>
    </w:rPr>
  </w:style>
  <w:style w:type="paragraph" w:styleId="BodyText2">
    <w:name w:val="Body Tex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3">
    <w:name w:val="Body Text 3"/>
    <w:basedOn w:val="Normal"/>
    <w:pPr>
      <w:jc w:val="both"/>
    </w:pPr>
    <w:rPr>
      <w:sz w:val="24"/>
    </w:rPr>
  </w:style>
  <w:style w:type="paragraph" w:styleId="BodyTextIndent">
    <w:name w:val="Body Text Indent"/>
    <w:basedOn w:val="Normal"/>
    <w:pPr>
      <w:ind w:left="1440" w:hanging="1440"/>
      <w:jc w:val="both"/>
    </w:pPr>
    <w:rPr>
      <w:rFonts w:cs="Arial"/>
      <w:sz w:val="24"/>
    </w:rPr>
  </w:style>
  <w:style w:type="paragraph" w:styleId="BodyTextIndent2">
    <w:name w:val="Body Text Indent 2"/>
    <w:basedOn w:val="Normal"/>
    <w:pPr>
      <w:ind w:left="2160" w:hanging="2160"/>
      <w:jc w:val="both"/>
    </w:pPr>
    <w:rPr>
      <w:rFonts w:cs="Arial"/>
      <w:sz w:val="24"/>
    </w:rPr>
  </w:style>
  <w:style w:type="paragraph" w:styleId="BodyTextIndent3">
    <w:name w:val="Body Text Indent 3"/>
    <w:basedOn w:val="Normal"/>
    <w:pPr>
      <w:ind w:left="2880" w:hanging="2880"/>
      <w:jc w:val="both"/>
    </w:pPr>
    <w:rPr>
      <w:rFonts w:cs="Arial"/>
      <w:sz w:val="24"/>
    </w:rPr>
  </w:style>
  <w:style w:type="character" w:styleId="PageNumber">
    <w:name w:val="page number"/>
    <w:basedOn w:val="DefaultParagraphFont"/>
  </w:style>
  <w:style w:type="character" w:customStyle="1" w:styleId="TitleChar">
    <w:name w:val="Title Char"/>
    <w:link w:val="Title"/>
    <w:rsid w:val="006E1C50"/>
    <w:rPr>
      <w:rFonts w:ascii="Arial" w:hAnsi="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52471-7177-4461-A447-4CBD5A26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242</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GNF MANAGEMENT COMPANY</vt:lpstr>
    </vt:vector>
  </TitlesOfParts>
  <Company>GNF Management</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GNF MANAGEMENT COMPANY</dc:title>
  <dc:subject/>
  <dc:creator>GNF Management</dc:creator>
  <cp:keywords/>
  <cp:lastModifiedBy>Sonya Kennon</cp:lastModifiedBy>
  <cp:revision>4</cp:revision>
  <cp:lastPrinted>2020-11-03T15:25:00Z</cp:lastPrinted>
  <dcterms:created xsi:type="dcterms:W3CDTF">2020-11-03T15:24:00Z</dcterms:created>
  <dcterms:modified xsi:type="dcterms:W3CDTF">2020-11-11T19:46:00Z</dcterms:modified>
</cp:coreProperties>
</file>